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финансирования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EAA4D8" w:rsidR="00A77598" w:rsidRPr="008905F1" w:rsidRDefault="008905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10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0F3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97029" w:rsidR="004475DA" w:rsidRPr="008905F1" w:rsidRDefault="008905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0D8D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12E055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91B175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3D45E7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0BF173D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20C1A1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569F87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CA46C7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7F03A1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2672049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88FFC64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43F690E" w:rsidR="00D75436" w:rsidRDefault="00293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E4491A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1C0CDA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FBAF129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355E9B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0F794E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8E740A" w:rsidR="00D75436" w:rsidRDefault="00293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10F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F02AF6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5107470" w14:textId="77777777" w:rsidR="009A10F3" w:rsidRPr="009A10F3" w:rsidRDefault="009A10F3" w:rsidP="009A10F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бакалавров необходимых теоретических знаний о сущности, видах, механизмах финансирования инвестиционных проектов и принятия обоснованных решений по выбору источников, способов  и форм финансирования проектов в практической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Теория финансирования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A10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10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10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10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10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10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10F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10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10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10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10F3">
              <w:rPr>
                <w:rFonts w:ascii="Times New Roman" w:hAnsi="Times New Roman" w:cs="Times New Roman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10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10F3">
              <w:rPr>
                <w:rFonts w:ascii="Times New Roman" w:hAnsi="Times New Roman" w:cs="Times New Roman"/>
                <w:lang w:bidi="ru-RU"/>
              </w:rPr>
              <w:t>ПК-1.1 - Анализирует финансовые показатели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10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10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10F3">
              <w:rPr>
                <w:rFonts w:ascii="Times New Roman" w:hAnsi="Times New Roman" w:cs="Times New Roman"/>
              </w:rPr>
              <w:t>Основы финансового анализа проектов, включая ключевые показатели эффективности (</w:t>
            </w:r>
            <w:r w:rsidR="00316402" w:rsidRPr="009A10F3">
              <w:rPr>
                <w:rFonts w:ascii="Times New Roman" w:hAnsi="Times New Roman" w:cs="Times New Roman"/>
                <w:lang w:val="en-US"/>
              </w:rPr>
              <w:t>NPV</w:t>
            </w:r>
            <w:r w:rsidR="00316402" w:rsidRPr="009A10F3">
              <w:rPr>
                <w:rFonts w:ascii="Times New Roman" w:hAnsi="Times New Roman" w:cs="Times New Roman"/>
              </w:rPr>
              <w:t xml:space="preserve">, </w:t>
            </w:r>
            <w:r w:rsidR="00316402" w:rsidRPr="009A10F3">
              <w:rPr>
                <w:rFonts w:ascii="Times New Roman" w:hAnsi="Times New Roman" w:cs="Times New Roman"/>
                <w:lang w:val="en-US"/>
              </w:rPr>
              <w:t>IRR</w:t>
            </w:r>
            <w:r w:rsidR="00316402" w:rsidRPr="009A10F3">
              <w:rPr>
                <w:rFonts w:ascii="Times New Roman" w:hAnsi="Times New Roman" w:cs="Times New Roman"/>
              </w:rPr>
              <w:t xml:space="preserve">, </w:t>
            </w:r>
            <w:r w:rsidR="00316402" w:rsidRPr="009A10F3">
              <w:rPr>
                <w:rFonts w:ascii="Times New Roman" w:hAnsi="Times New Roman" w:cs="Times New Roman"/>
                <w:lang w:val="en-US"/>
              </w:rPr>
              <w:t>ROI</w:t>
            </w:r>
            <w:r w:rsidR="00316402" w:rsidRPr="009A10F3">
              <w:rPr>
                <w:rFonts w:ascii="Times New Roman" w:hAnsi="Times New Roman" w:cs="Times New Roman"/>
              </w:rPr>
              <w:t xml:space="preserve">, </w:t>
            </w:r>
            <w:r w:rsidR="00316402" w:rsidRPr="009A10F3">
              <w:rPr>
                <w:rFonts w:ascii="Times New Roman" w:hAnsi="Times New Roman" w:cs="Times New Roman"/>
                <w:lang w:val="en-US"/>
              </w:rPr>
              <w:t>PP</w:t>
            </w:r>
            <w:r w:rsidR="00316402" w:rsidRPr="009A10F3">
              <w:rPr>
                <w:rFonts w:ascii="Times New Roman" w:hAnsi="Times New Roman" w:cs="Times New Roman"/>
              </w:rPr>
              <w:t xml:space="preserve">, </w:t>
            </w:r>
            <w:r w:rsidR="00316402" w:rsidRPr="009A10F3">
              <w:rPr>
                <w:rFonts w:ascii="Times New Roman" w:hAnsi="Times New Roman" w:cs="Times New Roman"/>
                <w:lang w:val="en-US"/>
              </w:rPr>
              <w:t>DPP</w:t>
            </w:r>
            <w:r w:rsidR="00316402" w:rsidRPr="009A10F3">
              <w:rPr>
                <w:rFonts w:ascii="Times New Roman" w:hAnsi="Times New Roman" w:cs="Times New Roman"/>
              </w:rPr>
              <w:t>) и их экономическую интерпретацию.  Методы оценки инвестиционной привлекательности и факторы, влияющие на финансовую устойчивость проекта. Принципы дисконтирования денежных потоков, учет инфляции и рисков. Нормативно-правовые аспекты финансирования проектов, включая налоговые последствия и требования регуляторов. Основы финансового моделирования и прогнозирования денежных потоков.</w:t>
            </w:r>
            <w:r w:rsidRPr="009A10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10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10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10F3">
              <w:rPr>
                <w:rFonts w:ascii="Times New Roman" w:hAnsi="Times New Roman" w:cs="Times New Roman"/>
              </w:rPr>
              <w:t>Проводить расчеты финансовых показателей (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NPV</w:t>
            </w:r>
            <w:r w:rsidR="00FD518F" w:rsidRPr="009A10F3">
              <w:rPr>
                <w:rFonts w:ascii="Times New Roman" w:hAnsi="Times New Roman" w:cs="Times New Roman"/>
              </w:rPr>
              <w:t xml:space="preserve">, 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IRR</w:t>
            </w:r>
            <w:r w:rsidR="00FD518F" w:rsidRPr="009A10F3">
              <w:rPr>
                <w:rFonts w:ascii="Times New Roman" w:hAnsi="Times New Roman" w:cs="Times New Roman"/>
              </w:rPr>
              <w:t xml:space="preserve">, 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PP</w:t>
            </w:r>
            <w:r w:rsidR="00FD518F" w:rsidRPr="009A10F3">
              <w:rPr>
                <w:rFonts w:ascii="Times New Roman" w:hAnsi="Times New Roman" w:cs="Times New Roman"/>
              </w:rPr>
              <w:t xml:space="preserve"> и др.) с использованием аналитических инструментов. Оценивать эффективность инвестиционных проектов, сравнивать альтернативные варианты. Анализировать чувствительность проекта к изменениям ключевых параметров (ставка дисконта, объем выручки, затраты). Интерпретировать финансовую отчетность (баланс, отчет о движении денежных средств) для принятия управленческих решений. Готовить аналитические отчеты с обоснованием выводов и рекомендаций</w:t>
            </w:r>
            <w:proofErr w:type="gramStart"/>
            <w:r w:rsidR="00FD518F" w:rsidRPr="009A10F3">
              <w:rPr>
                <w:rFonts w:ascii="Times New Roman" w:hAnsi="Times New Roman" w:cs="Times New Roman"/>
              </w:rPr>
              <w:t>.</w:t>
            </w:r>
            <w:r w:rsidRPr="009A10F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A10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A10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10F3">
              <w:rPr>
                <w:rFonts w:ascii="Times New Roman" w:hAnsi="Times New Roman" w:cs="Times New Roman"/>
              </w:rPr>
              <w:t xml:space="preserve">Навыками работы с финансовыми моделями в 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9A10F3">
              <w:rPr>
                <w:rFonts w:ascii="Times New Roman" w:hAnsi="Times New Roman" w:cs="Times New Roman"/>
              </w:rPr>
              <w:t xml:space="preserve"> и специализированном ПО (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Project</w:t>
            </w:r>
            <w:r w:rsidR="00FD518F" w:rsidRPr="009A10F3">
              <w:rPr>
                <w:rFonts w:ascii="Times New Roman" w:hAnsi="Times New Roman" w:cs="Times New Roman"/>
              </w:rPr>
              <w:t xml:space="preserve"> 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Expert</w:t>
            </w:r>
            <w:r w:rsidR="00FD518F" w:rsidRPr="009A10F3">
              <w:rPr>
                <w:rFonts w:ascii="Times New Roman" w:hAnsi="Times New Roman" w:cs="Times New Roman"/>
              </w:rPr>
              <w:t xml:space="preserve">, 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Altair</w:t>
            </w:r>
            <w:r w:rsidR="00FD518F" w:rsidRPr="009A10F3">
              <w:rPr>
                <w:rFonts w:ascii="Times New Roman" w:hAnsi="Times New Roman" w:cs="Times New Roman"/>
              </w:rPr>
              <w:t xml:space="preserve"> </w:t>
            </w:r>
            <w:r w:rsidR="00FD518F" w:rsidRPr="009A10F3">
              <w:rPr>
                <w:rFonts w:ascii="Times New Roman" w:hAnsi="Times New Roman" w:cs="Times New Roman"/>
                <w:lang w:val="en-US"/>
              </w:rPr>
              <w:t>Invest</w:t>
            </w:r>
            <w:r w:rsidR="00FD518F" w:rsidRPr="009A10F3">
              <w:rPr>
                <w:rFonts w:ascii="Times New Roman" w:hAnsi="Times New Roman" w:cs="Times New Roman"/>
              </w:rPr>
              <w:t xml:space="preserve">). Методиками оценки рисков (сценарный анализ, метод Монте-Карло). Способностью визуализировать данные (графики, диаграммы) для презентации результатов. Критическим мышлением при оценке достоверности исходных данных и результатов расчетов. </w:t>
            </w:r>
            <w:proofErr w:type="spellStart"/>
            <w:r w:rsidR="00FD518F" w:rsidRPr="009A10F3">
              <w:rPr>
                <w:rFonts w:ascii="Times New Roman" w:hAnsi="Times New Roman" w:cs="Times New Roman"/>
                <w:lang w:val="en-US"/>
              </w:rPr>
              <w:t>Умением</w:t>
            </w:r>
            <w:proofErr w:type="spellEnd"/>
            <w:r w:rsidR="00FD518F" w:rsidRPr="009A10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9A10F3">
              <w:rPr>
                <w:rFonts w:ascii="Times New Roman" w:hAnsi="Times New Roman" w:cs="Times New Roman"/>
                <w:lang w:val="en-US"/>
              </w:rPr>
              <w:t>аргументированно</w:t>
            </w:r>
            <w:proofErr w:type="spellEnd"/>
            <w:r w:rsidR="00FD518F" w:rsidRPr="009A10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9A10F3">
              <w:rPr>
                <w:rFonts w:ascii="Times New Roman" w:hAnsi="Times New Roman" w:cs="Times New Roman"/>
                <w:lang w:val="en-US"/>
              </w:rPr>
              <w:t>обосновывать</w:t>
            </w:r>
            <w:proofErr w:type="spellEnd"/>
            <w:r w:rsidR="00FD518F" w:rsidRPr="009A10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9A10F3">
              <w:rPr>
                <w:rFonts w:ascii="Times New Roman" w:hAnsi="Times New Roman" w:cs="Times New Roman"/>
                <w:lang w:val="en-US"/>
              </w:rPr>
              <w:t>инвестиционные</w:t>
            </w:r>
            <w:proofErr w:type="spellEnd"/>
            <w:r w:rsidR="00FD518F" w:rsidRPr="009A10F3">
              <w:rPr>
                <w:rFonts w:ascii="Times New Roman" w:hAnsi="Times New Roman" w:cs="Times New Roman"/>
                <w:lang w:val="en-US"/>
              </w:rPr>
              <w:t xml:space="preserve"> решения на основе финансового анализа</w:t>
            </w:r>
            <w:proofErr w:type="gramStart"/>
            <w:r w:rsidR="00FD518F" w:rsidRPr="009A10F3">
              <w:rPr>
                <w:rFonts w:ascii="Times New Roman" w:hAnsi="Times New Roman" w:cs="Times New Roman"/>
                <w:lang w:val="en-US"/>
              </w:rPr>
              <w:t>.</w:t>
            </w:r>
            <w:r w:rsidRPr="009A10F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034FBB2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4CB0E60" w14:textId="77777777" w:rsidR="009A10F3" w:rsidRPr="009A10F3" w:rsidRDefault="009A10F3" w:rsidP="009A10F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Инвестиционные проекты как объекты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проекта. Инвестиционные проекты и их виды. Жизненный цикл инвестиционного проекта. Таблица денежных потоков проекта. Бюджет проекта Средневзвешенная стоимость капитала. Эффективность проекта и ее оценка. Проблема финансирования проекта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4D3F2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56A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Самофинансирование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110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и ее Формирование. Формирование фондов организации и их использование. Амортизационные отчисления. Методы расчета амортизации и их влияние на формирование финансового результата организации. Оптимальная структура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701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10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A1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BC3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77643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864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Бюджетное финансирование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1F0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Бюджетное финансирование и его формы. Целевые программы. Государственные инвестиционные программы и проекты. Государственные закупки.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59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F6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7E8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EDD0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EF3FF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114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Внешнее финансирование проектов и его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214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Прямое и кредитное финансирование: цель, задачи. Требования к заемщику. Условия финансирования. Обеспечение кредита. Кредитная линия. Синдицированный кредит. Построение финансовой модели. Целевое финансирование. Долевое участие.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CB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F0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735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D04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788E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D6B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Проектное финансирование.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0A9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специфика проектного финансирования. Характеристики проектного финансирования. Основные участники проектного финансирования. Компании спонсоры проекта, кредиторы, подрядчики. Роль и функции компании спонсора. Проектная компания. Риски проектного финансирования и их распределение.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96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DB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B5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D51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93"/>
        <w:gridCol w:w="281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905F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A10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Федотова, М. А.  Проектное финансирование и анализ</w:t>
            </w:r>
            <w:proofErr w:type="gram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, 2025. — 144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978-5-534-09860-0.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3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A10F3">
                <w:rPr>
                  <w:color w:val="00008B"/>
                  <w:u w:val="single"/>
                  <w:lang w:val="en-US"/>
                </w:rPr>
                <w:t>https://urait.ru/book/proektno ... finansirovanie-i-analiz-560163</w:t>
              </w:r>
            </w:hyperlink>
          </w:p>
        </w:tc>
      </w:tr>
      <w:tr w:rsidR="00262CF0" w:rsidRPr="008905F1" w14:paraId="6A56EC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960D3" w14:textId="77777777" w:rsidR="00262CF0" w:rsidRPr="009A10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, В. В.  Управление инвестиционным проектом</w:t>
            </w:r>
            <w:proofErr w:type="gram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В. </w:t>
            </w:r>
            <w:proofErr w:type="spell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, 2025. — 302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A10F3">
              <w:rPr>
                <w:rFonts w:ascii="Times New Roman" w:hAnsi="Times New Roman" w:cs="Times New Roman"/>
                <w:sz w:val="24"/>
                <w:szCs w:val="24"/>
              </w:rPr>
              <w:t xml:space="preserve"> 978-5-534-07049-1.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7457BE" w14:textId="77777777" w:rsidR="00262CF0" w:rsidRPr="007E6725" w:rsidRDefault="00293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A10F3">
                <w:rPr>
                  <w:color w:val="00008B"/>
                  <w:u w:val="single"/>
                  <w:lang w:val="en-US"/>
                </w:rPr>
                <w:t>https://urait.ru/book/upravlen ... investicionnym-proektom-564498</w:t>
              </w:r>
            </w:hyperlink>
          </w:p>
        </w:tc>
      </w:tr>
    </w:tbl>
    <w:p w14:paraId="570D085B" w14:textId="77777777" w:rsidR="0091168E" w:rsidRPr="009A10F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744408" w14:textId="77777777" w:rsidTr="007B550D">
        <w:tc>
          <w:tcPr>
            <w:tcW w:w="9345" w:type="dxa"/>
          </w:tcPr>
          <w:p w14:paraId="23C4EA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B3CC96" w14:textId="77777777" w:rsidTr="007B550D">
        <w:tc>
          <w:tcPr>
            <w:tcW w:w="9345" w:type="dxa"/>
          </w:tcPr>
          <w:p w14:paraId="0B62D5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2D9083" w14:textId="77777777" w:rsidTr="007B550D">
        <w:tc>
          <w:tcPr>
            <w:tcW w:w="9345" w:type="dxa"/>
          </w:tcPr>
          <w:p w14:paraId="31BC8B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CC5D72" w14:textId="77777777" w:rsidTr="007B550D">
        <w:tc>
          <w:tcPr>
            <w:tcW w:w="9345" w:type="dxa"/>
          </w:tcPr>
          <w:p w14:paraId="540DC1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3D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C7D26A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8403233" w14:textId="77777777" w:rsidR="009A10F3" w:rsidRPr="009A10F3" w:rsidRDefault="009A10F3" w:rsidP="009A10F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10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10F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A10F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10F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A10F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9A10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10F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A10F3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A10F3">
              <w:rPr>
                <w:sz w:val="24"/>
                <w:szCs w:val="24"/>
              </w:rPr>
              <w:t>мМоноблок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Acer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Aspire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Z</w:t>
            </w:r>
            <w:r w:rsidRPr="009A10F3">
              <w:rPr>
                <w:sz w:val="24"/>
                <w:szCs w:val="24"/>
              </w:rPr>
              <w:t xml:space="preserve">1811 в </w:t>
            </w:r>
            <w:proofErr w:type="spellStart"/>
            <w:r w:rsidRPr="009A10F3">
              <w:rPr>
                <w:sz w:val="24"/>
                <w:szCs w:val="24"/>
              </w:rPr>
              <w:t>компл</w:t>
            </w:r>
            <w:proofErr w:type="spellEnd"/>
            <w:r w:rsidRPr="009A10F3">
              <w:rPr>
                <w:sz w:val="24"/>
                <w:szCs w:val="24"/>
              </w:rPr>
              <w:t xml:space="preserve">.: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A10F3">
              <w:rPr>
                <w:sz w:val="24"/>
                <w:szCs w:val="24"/>
              </w:rPr>
              <w:t>5 2400</w:t>
            </w:r>
            <w:r w:rsidRPr="009A10F3">
              <w:rPr>
                <w:sz w:val="24"/>
                <w:szCs w:val="24"/>
                <w:lang w:val="en-US"/>
              </w:rPr>
              <w:t>s</w:t>
            </w:r>
            <w:r w:rsidRPr="009A10F3">
              <w:rPr>
                <w:sz w:val="24"/>
                <w:szCs w:val="24"/>
              </w:rPr>
              <w:t>/4</w:t>
            </w:r>
            <w:r w:rsidRPr="009A10F3">
              <w:rPr>
                <w:sz w:val="24"/>
                <w:szCs w:val="24"/>
                <w:lang w:val="en-US"/>
              </w:rPr>
              <w:t>Gb</w:t>
            </w:r>
            <w:r w:rsidRPr="009A10F3">
              <w:rPr>
                <w:sz w:val="24"/>
                <w:szCs w:val="24"/>
              </w:rPr>
              <w:t>/1</w:t>
            </w:r>
            <w:r w:rsidRPr="009A10F3">
              <w:rPr>
                <w:sz w:val="24"/>
                <w:szCs w:val="24"/>
                <w:lang w:val="en-US"/>
              </w:rPr>
              <w:t>T</w:t>
            </w:r>
            <w:r w:rsidRPr="009A10F3">
              <w:rPr>
                <w:sz w:val="24"/>
                <w:szCs w:val="24"/>
              </w:rPr>
              <w:t xml:space="preserve">б - 16 шт.,  Проектор </w:t>
            </w:r>
            <w:r w:rsidRPr="009A10F3">
              <w:rPr>
                <w:sz w:val="24"/>
                <w:szCs w:val="24"/>
                <w:lang w:val="en-US"/>
              </w:rPr>
              <w:t>NEC</w:t>
            </w:r>
            <w:r w:rsidRPr="009A10F3">
              <w:rPr>
                <w:sz w:val="24"/>
                <w:szCs w:val="24"/>
              </w:rPr>
              <w:t xml:space="preserve"> М350 Х  - 1 шт., Ноутбук </w:t>
            </w:r>
            <w:r w:rsidRPr="009A10F3">
              <w:rPr>
                <w:sz w:val="24"/>
                <w:szCs w:val="24"/>
                <w:lang w:val="en-US"/>
              </w:rPr>
              <w:t>Samsung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NP</w:t>
            </w:r>
            <w:r w:rsidRPr="009A10F3">
              <w:rPr>
                <w:sz w:val="24"/>
                <w:szCs w:val="24"/>
              </w:rPr>
              <w:t>-</w:t>
            </w:r>
            <w:r w:rsidRPr="009A10F3">
              <w:rPr>
                <w:sz w:val="24"/>
                <w:szCs w:val="24"/>
                <w:lang w:val="en-US"/>
              </w:rPr>
              <w:t>R</w:t>
            </w:r>
            <w:r w:rsidRPr="009A10F3">
              <w:rPr>
                <w:sz w:val="24"/>
                <w:szCs w:val="24"/>
              </w:rPr>
              <w:t>780-</w:t>
            </w:r>
            <w:r w:rsidRPr="009A10F3">
              <w:rPr>
                <w:sz w:val="24"/>
                <w:szCs w:val="24"/>
                <w:lang w:val="en-US"/>
              </w:rPr>
              <w:t>JS</w:t>
            </w:r>
            <w:r w:rsidRPr="009A10F3">
              <w:rPr>
                <w:sz w:val="24"/>
                <w:szCs w:val="24"/>
              </w:rPr>
              <w:t xml:space="preserve">04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A10F3">
              <w:rPr>
                <w:sz w:val="24"/>
                <w:szCs w:val="24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A10F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9A10F3" w14:paraId="638347AE" w14:textId="77777777" w:rsidTr="008416EB">
        <w:tc>
          <w:tcPr>
            <w:tcW w:w="7797" w:type="dxa"/>
            <w:shd w:val="clear" w:color="auto" w:fill="auto"/>
          </w:tcPr>
          <w:p w14:paraId="7129B674" w14:textId="7777777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10F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A10F3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A10F3">
              <w:rPr>
                <w:sz w:val="24"/>
                <w:szCs w:val="24"/>
              </w:rPr>
              <w:t>мКомпьютер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I</w:t>
            </w:r>
            <w:r w:rsidRPr="009A10F3">
              <w:rPr>
                <w:sz w:val="24"/>
                <w:szCs w:val="24"/>
              </w:rPr>
              <w:t xml:space="preserve">3-8100/ 8Гб/500Гб/ </w:t>
            </w:r>
            <w:r w:rsidRPr="009A10F3">
              <w:rPr>
                <w:sz w:val="24"/>
                <w:szCs w:val="24"/>
                <w:lang w:val="en-US"/>
              </w:rPr>
              <w:t>Philips</w:t>
            </w:r>
            <w:r w:rsidRPr="009A10F3">
              <w:rPr>
                <w:sz w:val="24"/>
                <w:szCs w:val="24"/>
              </w:rPr>
              <w:t>224</w:t>
            </w:r>
            <w:r w:rsidRPr="009A10F3">
              <w:rPr>
                <w:sz w:val="24"/>
                <w:szCs w:val="24"/>
                <w:lang w:val="en-US"/>
              </w:rPr>
              <w:t>E</w:t>
            </w:r>
            <w:r w:rsidRPr="009A10F3">
              <w:rPr>
                <w:sz w:val="24"/>
                <w:szCs w:val="24"/>
              </w:rPr>
              <w:t>5</w:t>
            </w:r>
            <w:r w:rsidRPr="009A10F3">
              <w:rPr>
                <w:sz w:val="24"/>
                <w:szCs w:val="24"/>
                <w:lang w:val="en-US"/>
              </w:rPr>
              <w:t>QSB</w:t>
            </w:r>
            <w:r w:rsidRPr="009A10F3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A10F3">
              <w:rPr>
                <w:sz w:val="24"/>
                <w:szCs w:val="24"/>
              </w:rPr>
              <w:t xml:space="preserve">5-7400 3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9A10F3">
              <w:rPr>
                <w:sz w:val="24"/>
                <w:szCs w:val="24"/>
              </w:rPr>
              <w:t>/8</w:t>
            </w:r>
            <w:r w:rsidRPr="009A10F3">
              <w:rPr>
                <w:sz w:val="24"/>
                <w:szCs w:val="24"/>
                <w:lang w:val="en-US"/>
              </w:rPr>
              <w:t>Gb</w:t>
            </w:r>
            <w:r w:rsidRPr="009A10F3">
              <w:rPr>
                <w:sz w:val="24"/>
                <w:szCs w:val="24"/>
              </w:rPr>
              <w:t>/1</w:t>
            </w:r>
            <w:r w:rsidRPr="009A10F3">
              <w:rPr>
                <w:sz w:val="24"/>
                <w:szCs w:val="24"/>
                <w:lang w:val="en-US"/>
              </w:rPr>
              <w:t>Tb</w:t>
            </w:r>
            <w:r w:rsidRPr="009A10F3">
              <w:rPr>
                <w:sz w:val="24"/>
                <w:szCs w:val="24"/>
              </w:rPr>
              <w:t>/</w:t>
            </w:r>
            <w:r w:rsidRPr="009A10F3">
              <w:rPr>
                <w:sz w:val="24"/>
                <w:szCs w:val="24"/>
                <w:lang w:val="en-US"/>
              </w:rPr>
              <w:t>Dell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e</w:t>
            </w:r>
            <w:r w:rsidRPr="009A10F3">
              <w:rPr>
                <w:sz w:val="24"/>
                <w:szCs w:val="24"/>
              </w:rPr>
              <w:t>2318</w:t>
            </w:r>
            <w:r w:rsidRPr="009A10F3">
              <w:rPr>
                <w:sz w:val="24"/>
                <w:szCs w:val="24"/>
                <w:lang w:val="en-US"/>
              </w:rPr>
              <w:t>h</w:t>
            </w:r>
            <w:r w:rsidRPr="009A10F3">
              <w:rPr>
                <w:sz w:val="24"/>
                <w:szCs w:val="24"/>
              </w:rPr>
              <w:t xml:space="preserve"> - 1 шт., Мультимедийный проектор 1 </w:t>
            </w:r>
            <w:r w:rsidRPr="009A10F3">
              <w:rPr>
                <w:sz w:val="24"/>
                <w:szCs w:val="24"/>
                <w:lang w:val="en-US"/>
              </w:rPr>
              <w:t>NEC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ME</w:t>
            </w:r>
            <w:r w:rsidRPr="009A10F3">
              <w:rPr>
                <w:sz w:val="24"/>
                <w:szCs w:val="24"/>
              </w:rPr>
              <w:t>401</w:t>
            </w:r>
            <w:r w:rsidRPr="009A10F3">
              <w:rPr>
                <w:sz w:val="24"/>
                <w:szCs w:val="24"/>
                <w:lang w:val="en-US"/>
              </w:rPr>
              <w:t>X</w:t>
            </w:r>
            <w:r w:rsidRPr="009A10F3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9A10F3">
              <w:rPr>
                <w:sz w:val="24"/>
                <w:szCs w:val="24"/>
                <w:lang w:val="en-US"/>
              </w:rPr>
              <w:t>Matte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White</w:t>
            </w:r>
            <w:r w:rsidRPr="009A10F3">
              <w:rPr>
                <w:sz w:val="24"/>
                <w:szCs w:val="24"/>
              </w:rPr>
              <w:t xml:space="preserve"> - 1 шт., Коммутатор </w:t>
            </w:r>
            <w:r w:rsidRPr="009A10F3">
              <w:rPr>
                <w:sz w:val="24"/>
                <w:szCs w:val="24"/>
                <w:lang w:val="en-US"/>
              </w:rPr>
              <w:t>HP</w:t>
            </w:r>
            <w:r w:rsidRPr="009A10F3">
              <w:rPr>
                <w:sz w:val="24"/>
                <w:szCs w:val="24"/>
              </w:rPr>
              <w:t xml:space="preserve">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Switch</w:t>
            </w:r>
            <w:r w:rsidRPr="009A10F3">
              <w:rPr>
                <w:sz w:val="24"/>
                <w:szCs w:val="24"/>
              </w:rPr>
              <w:t xml:space="preserve"> 2610-24 (24 </w:t>
            </w:r>
            <w:r w:rsidRPr="009A10F3">
              <w:rPr>
                <w:sz w:val="24"/>
                <w:szCs w:val="24"/>
                <w:lang w:val="en-US"/>
              </w:rPr>
              <w:t>ports</w:t>
            </w:r>
            <w:r w:rsidRPr="009A10F3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96A63" w14:textId="7777777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A10F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9A10F3" w14:paraId="3E7B9FD5" w14:textId="77777777" w:rsidTr="008416EB">
        <w:tc>
          <w:tcPr>
            <w:tcW w:w="7797" w:type="dxa"/>
            <w:shd w:val="clear" w:color="auto" w:fill="auto"/>
          </w:tcPr>
          <w:p w14:paraId="3E61D7BF" w14:textId="7777777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10F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A10F3">
              <w:rPr>
                <w:sz w:val="24"/>
                <w:szCs w:val="24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A10F3">
              <w:rPr>
                <w:sz w:val="24"/>
                <w:szCs w:val="24"/>
                <w:lang w:val="en-US"/>
              </w:rPr>
              <w:t>Acer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Aspire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Z</w:t>
            </w:r>
            <w:r w:rsidRPr="009A10F3">
              <w:rPr>
                <w:sz w:val="24"/>
                <w:szCs w:val="24"/>
              </w:rPr>
              <w:t xml:space="preserve">1811 в </w:t>
            </w:r>
            <w:proofErr w:type="spellStart"/>
            <w:r w:rsidRPr="009A10F3">
              <w:rPr>
                <w:sz w:val="24"/>
                <w:szCs w:val="24"/>
              </w:rPr>
              <w:t>компл</w:t>
            </w:r>
            <w:proofErr w:type="spellEnd"/>
            <w:r w:rsidRPr="009A10F3">
              <w:rPr>
                <w:sz w:val="24"/>
                <w:szCs w:val="24"/>
              </w:rPr>
              <w:t xml:space="preserve">.: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A10F3">
              <w:rPr>
                <w:sz w:val="24"/>
                <w:szCs w:val="24"/>
              </w:rPr>
              <w:t>5 2400</w:t>
            </w:r>
            <w:r w:rsidRPr="009A10F3">
              <w:rPr>
                <w:sz w:val="24"/>
                <w:szCs w:val="24"/>
                <w:lang w:val="en-US"/>
              </w:rPr>
              <w:t>s</w:t>
            </w:r>
            <w:r w:rsidRPr="009A10F3">
              <w:rPr>
                <w:sz w:val="24"/>
                <w:szCs w:val="24"/>
              </w:rPr>
              <w:t>/4</w:t>
            </w:r>
            <w:r w:rsidRPr="009A10F3">
              <w:rPr>
                <w:sz w:val="24"/>
                <w:szCs w:val="24"/>
                <w:lang w:val="en-US"/>
              </w:rPr>
              <w:t>Gb</w:t>
            </w:r>
            <w:r w:rsidRPr="009A10F3">
              <w:rPr>
                <w:sz w:val="24"/>
                <w:szCs w:val="24"/>
              </w:rPr>
              <w:t>/1</w:t>
            </w:r>
            <w:r w:rsidRPr="009A10F3">
              <w:rPr>
                <w:sz w:val="24"/>
                <w:szCs w:val="24"/>
                <w:lang w:val="en-US"/>
              </w:rPr>
              <w:t>T</w:t>
            </w:r>
            <w:r w:rsidRPr="009A10F3">
              <w:rPr>
                <w:sz w:val="24"/>
                <w:szCs w:val="24"/>
              </w:rPr>
              <w:t xml:space="preserve">б/ - 1 шт., Компьютер </w:t>
            </w:r>
            <w:r w:rsidRPr="009A10F3">
              <w:rPr>
                <w:sz w:val="24"/>
                <w:szCs w:val="24"/>
                <w:lang w:val="en-US"/>
              </w:rPr>
              <w:t>Intel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Core</w:t>
            </w:r>
            <w:r w:rsidRPr="009A10F3">
              <w:rPr>
                <w:sz w:val="24"/>
                <w:szCs w:val="24"/>
              </w:rPr>
              <w:t xml:space="preserve">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A10F3">
              <w:rPr>
                <w:sz w:val="24"/>
                <w:szCs w:val="24"/>
              </w:rPr>
              <w:t xml:space="preserve">5-3570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Sigabyte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GA</w:t>
            </w:r>
            <w:r w:rsidRPr="009A10F3">
              <w:rPr>
                <w:sz w:val="24"/>
                <w:szCs w:val="24"/>
              </w:rPr>
              <w:t>-</w:t>
            </w:r>
            <w:r w:rsidRPr="009A10F3">
              <w:rPr>
                <w:sz w:val="24"/>
                <w:szCs w:val="24"/>
                <w:lang w:val="en-US"/>
              </w:rPr>
              <w:t>H</w:t>
            </w:r>
            <w:r w:rsidRPr="009A10F3">
              <w:rPr>
                <w:sz w:val="24"/>
                <w:szCs w:val="24"/>
              </w:rPr>
              <w:t>77</w:t>
            </w:r>
            <w:r w:rsidRPr="009A10F3">
              <w:rPr>
                <w:sz w:val="24"/>
                <w:szCs w:val="24"/>
                <w:lang w:val="en-US"/>
              </w:rPr>
              <w:t>M</w:t>
            </w:r>
            <w:r w:rsidRPr="009A10F3">
              <w:rPr>
                <w:sz w:val="24"/>
                <w:szCs w:val="24"/>
              </w:rPr>
              <w:t xml:space="preserve"> - 1 шт., Громкоговоритель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Electrolvoice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EVID</w:t>
            </w:r>
            <w:r w:rsidRPr="009A10F3">
              <w:rPr>
                <w:sz w:val="24"/>
                <w:szCs w:val="24"/>
              </w:rPr>
              <w:t xml:space="preserve"> 3.2 - 2 шт., Мультимедийный проектор </w:t>
            </w:r>
            <w:r w:rsidRPr="009A10F3">
              <w:rPr>
                <w:sz w:val="24"/>
                <w:szCs w:val="24"/>
                <w:lang w:val="en-US"/>
              </w:rPr>
              <w:t>NEC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ME</w:t>
            </w:r>
            <w:r w:rsidRPr="009A10F3">
              <w:rPr>
                <w:sz w:val="24"/>
                <w:szCs w:val="24"/>
              </w:rPr>
              <w:t>402</w:t>
            </w:r>
            <w:r w:rsidRPr="009A10F3">
              <w:rPr>
                <w:sz w:val="24"/>
                <w:szCs w:val="24"/>
                <w:lang w:val="en-US"/>
              </w:rPr>
              <w:t>X</w:t>
            </w:r>
            <w:r w:rsidRPr="009A10F3">
              <w:rPr>
                <w:sz w:val="24"/>
                <w:szCs w:val="24"/>
              </w:rPr>
              <w:t xml:space="preserve"> - 1 шт., Микшер усилитель ТА-1120-1шт. в комплекте с </w:t>
            </w:r>
            <w:r w:rsidRPr="009A10F3">
              <w:rPr>
                <w:sz w:val="24"/>
                <w:szCs w:val="24"/>
                <w:lang w:val="en-US"/>
              </w:rPr>
              <w:t>Behringer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XM</w:t>
            </w:r>
            <w:r w:rsidRPr="009A10F3">
              <w:rPr>
                <w:sz w:val="24"/>
                <w:szCs w:val="24"/>
              </w:rPr>
              <w:t xml:space="preserve">8500 </w:t>
            </w:r>
            <w:r w:rsidRPr="009A10F3">
              <w:rPr>
                <w:sz w:val="24"/>
                <w:szCs w:val="24"/>
                <w:lang w:val="en-US"/>
              </w:rPr>
              <w:t>ULTRAVOICE</w:t>
            </w:r>
            <w:r w:rsidRPr="009A10F3">
              <w:rPr>
                <w:sz w:val="24"/>
                <w:szCs w:val="24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9E85B0" w14:textId="7777777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A10F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9A10F3" w14:paraId="67CB7276" w14:textId="77777777" w:rsidTr="008416EB">
        <w:tc>
          <w:tcPr>
            <w:tcW w:w="7797" w:type="dxa"/>
            <w:shd w:val="clear" w:color="auto" w:fill="auto"/>
          </w:tcPr>
          <w:p w14:paraId="27AF81A0" w14:textId="7777777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A10F3">
              <w:rPr>
                <w:sz w:val="24"/>
                <w:szCs w:val="24"/>
                <w:lang w:val="en-US"/>
              </w:rPr>
              <w:t>LENOVO</w:t>
            </w:r>
            <w:r w:rsidRPr="009A10F3">
              <w:rPr>
                <w:sz w:val="24"/>
                <w:szCs w:val="24"/>
              </w:rPr>
              <w:t xml:space="preserve">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A</w:t>
            </w:r>
            <w:r w:rsidRPr="009A10F3">
              <w:rPr>
                <w:sz w:val="24"/>
                <w:szCs w:val="24"/>
              </w:rPr>
              <w:t>310 (</w:t>
            </w:r>
            <w:r w:rsidRPr="009A10F3">
              <w:rPr>
                <w:sz w:val="24"/>
                <w:szCs w:val="24"/>
                <w:lang w:val="en-US"/>
              </w:rPr>
              <w:t>Intel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Pentium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CPU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P</w:t>
            </w:r>
            <w:r w:rsidRPr="009A10F3">
              <w:rPr>
                <w:sz w:val="24"/>
                <w:szCs w:val="24"/>
              </w:rPr>
              <w:t>6100 @ 2.00</w:t>
            </w:r>
            <w:r w:rsidRPr="009A10F3">
              <w:rPr>
                <w:sz w:val="24"/>
                <w:szCs w:val="24"/>
                <w:lang w:val="en-US"/>
              </w:rPr>
              <w:t>GHz</w:t>
            </w:r>
            <w:r w:rsidRPr="009A10F3">
              <w:rPr>
                <w:sz w:val="24"/>
                <w:szCs w:val="24"/>
              </w:rPr>
              <w:t>/2</w:t>
            </w:r>
            <w:r w:rsidRPr="009A10F3">
              <w:rPr>
                <w:sz w:val="24"/>
                <w:szCs w:val="24"/>
                <w:lang w:val="en-US"/>
              </w:rPr>
              <w:t>Gb</w:t>
            </w:r>
            <w:r w:rsidRPr="009A10F3">
              <w:rPr>
                <w:sz w:val="24"/>
                <w:szCs w:val="24"/>
              </w:rPr>
              <w:t>/250</w:t>
            </w:r>
            <w:r w:rsidRPr="009A10F3">
              <w:rPr>
                <w:sz w:val="24"/>
                <w:szCs w:val="24"/>
                <w:lang w:val="en-US"/>
              </w:rPr>
              <w:t>Gb</w:t>
            </w:r>
            <w:r w:rsidRPr="009A10F3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9A10F3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x</w:t>
            </w:r>
            <w:r w:rsidRPr="009A10F3">
              <w:rPr>
                <w:sz w:val="24"/>
                <w:szCs w:val="24"/>
              </w:rPr>
              <w:t xml:space="preserve"> 400 - 1 шт.,  Экран с электроприводом </w:t>
            </w:r>
            <w:r w:rsidRPr="009A10F3">
              <w:rPr>
                <w:sz w:val="24"/>
                <w:szCs w:val="24"/>
                <w:lang w:val="en-US"/>
              </w:rPr>
              <w:t>Draper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Baronet</w:t>
            </w:r>
            <w:r w:rsidRPr="009A10F3">
              <w:rPr>
                <w:sz w:val="24"/>
                <w:szCs w:val="24"/>
              </w:rPr>
              <w:t xml:space="preserve"> </w:t>
            </w:r>
            <w:r w:rsidRPr="009A10F3">
              <w:rPr>
                <w:sz w:val="24"/>
                <w:szCs w:val="24"/>
                <w:lang w:val="en-US"/>
              </w:rPr>
              <w:t>NTSC</w:t>
            </w:r>
            <w:r w:rsidRPr="009A10F3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0CA966" w14:textId="77777777" w:rsidR="002C735C" w:rsidRPr="009A10F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A10F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A10F3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Инвестиционный проект, проектный цикл, предпроектные исследования.</w:t>
            </w:r>
          </w:p>
        </w:tc>
      </w:tr>
      <w:tr w:rsidR="009E6058" w14:paraId="6DCF3115" w14:textId="77777777" w:rsidTr="00F00293">
        <w:tc>
          <w:tcPr>
            <w:tcW w:w="562" w:type="dxa"/>
          </w:tcPr>
          <w:p w14:paraId="02F31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2703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инвестиционных проектов.</w:t>
            </w:r>
          </w:p>
        </w:tc>
      </w:tr>
      <w:tr w:rsidR="009E6058" w14:paraId="0058ADDF" w14:textId="77777777" w:rsidTr="00F00293">
        <w:tc>
          <w:tcPr>
            <w:tcW w:w="562" w:type="dxa"/>
          </w:tcPr>
          <w:p w14:paraId="409AD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6EA911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Общая последовательность разработки и анализа проекта.</w:t>
            </w:r>
          </w:p>
        </w:tc>
      </w:tr>
      <w:tr w:rsidR="009E6058" w14:paraId="37DA8230" w14:textId="77777777" w:rsidTr="00F00293">
        <w:tc>
          <w:tcPr>
            <w:tcW w:w="562" w:type="dxa"/>
          </w:tcPr>
          <w:p w14:paraId="6512FC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46AFF8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Содержание стандартного инвестиционного проекта, порядок разработки и сопровождения (мониторинг).</w:t>
            </w:r>
          </w:p>
        </w:tc>
      </w:tr>
      <w:tr w:rsidR="009E6058" w14:paraId="753A467B" w14:textId="77777777" w:rsidTr="00F00293">
        <w:tc>
          <w:tcPr>
            <w:tcW w:w="562" w:type="dxa"/>
          </w:tcPr>
          <w:p w14:paraId="54C14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CA981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Требования международных и национальных финансовых учреждений к подготовке и обоснованию инвестиционных проектов.</w:t>
            </w:r>
          </w:p>
        </w:tc>
      </w:tr>
      <w:tr w:rsidR="009E6058" w14:paraId="44C51E39" w14:textId="77777777" w:rsidTr="00F00293">
        <w:tc>
          <w:tcPr>
            <w:tcW w:w="562" w:type="dxa"/>
          </w:tcPr>
          <w:p w14:paraId="57AED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1AD0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Информационная база инвестиционного проектирования.</w:t>
            </w:r>
          </w:p>
        </w:tc>
      </w:tr>
      <w:tr w:rsidR="009E6058" w14:paraId="13A2B902" w14:textId="77777777" w:rsidTr="00F00293">
        <w:tc>
          <w:tcPr>
            <w:tcW w:w="562" w:type="dxa"/>
          </w:tcPr>
          <w:p w14:paraId="59253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C40FE7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Определение масштаба бизнеса, расчет производственной мощности.</w:t>
            </w:r>
          </w:p>
        </w:tc>
      </w:tr>
      <w:tr w:rsidR="009E6058" w14:paraId="07B95AC2" w14:textId="77777777" w:rsidTr="00F00293">
        <w:tc>
          <w:tcPr>
            <w:tcW w:w="562" w:type="dxa"/>
          </w:tcPr>
          <w:p w14:paraId="64A03C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2B71CB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Концепция денежных потоков (</w:t>
            </w:r>
            <w:r>
              <w:rPr>
                <w:sz w:val="23"/>
                <w:szCs w:val="23"/>
                <w:lang w:val="en-US"/>
              </w:rPr>
              <w:t>cash</w:t>
            </w:r>
            <w:r w:rsidRPr="009A10F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flow</w:t>
            </w:r>
            <w:r w:rsidRPr="009A10F3">
              <w:rPr>
                <w:sz w:val="23"/>
                <w:szCs w:val="23"/>
              </w:rPr>
              <w:t>) и финансовая постановка целей деятельности.</w:t>
            </w:r>
          </w:p>
        </w:tc>
      </w:tr>
      <w:tr w:rsidR="009E6058" w14:paraId="46712EC8" w14:textId="77777777" w:rsidTr="00F00293">
        <w:tc>
          <w:tcPr>
            <w:tcW w:w="562" w:type="dxa"/>
          </w:tcPr>
          <w:p w14:paraId="6CDB6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3438BB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Теоретические основы оценки эффективности инвестиций.</w:t>
            </w:r>
          </w:p>
        </w:tc>
      </w:tr>
      <w:tr w:rsidR="009E6058" w14:paraId="5E626A35" w14:textId="77777777" w:rsidTr="00F00293">
        <w:tc>
          <w:tcPr>
            <w:tcW w:w="562" w:type="dxa"/>
          </w:tcPr>
          <w:p w14:paraId="7F1C8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9EE2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Компромисс «риск и доходность».</w:t>
            </w:r>
          </w:p>
        </w:tc>
      </w:tr>
      <w:tr w:rsidR="009E6058" w14:paraId="1DA29841" w14:textId="77777777" w:rsidTr="00F00293">
        <w:tc>
          <w:tcPr>
            <w:tcW w:w="562" w:type="dxa"/>
          </w:tcPr>
          <w:p w14:paraId="00916C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0D0C6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Оценка операционных потоков проекта. Расчет выручки.</w:t>
            </w:r>
          </w:p>
        </w:tc>
      </w:tr>
      <w:tr w:rsidR="009E6058" w14:paraId="30A850BC" w14:textId="77777777" w:rsidTr="00F00293">
        <w:tc>
          <w:tcPr>
            <w:tcW w:w="562" w:type="dxa"/>
          </w:tcPr>
          <w:p w14:paraId="01B7AE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B63F53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Текущие и единовременные затраты, отражение в плановых таблицах.</w:t>
            </w:r>
          </w:p>
        </w:tc>
      </w:tr>
      <w:tr w:rsidR="009E6058" w14:paraId="7BDF639A" w14:textId="77777777" w:rsidTr="00F00293">
        <w:tc>
          <w:tcPr>
            <w:tcW w:w="562" w:type="dxa"/>
          </w:tcPr>
          <w:p w14:paraId="442E1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420C51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Понятие «результаты-затраты», «поступления (притоки) – выплаты (оттоки)».</w:t>
            </w:r>
          </w:p>
        </w:tc>
      </w:tr>
      <w:tr w:rsidR="009E6058" w14:paraId="497655E9" w14:textId="77777777" w:rsidTr="00F00293">
        <w:tc>
          <w:tcPr>
            <w:tcW w:w="562" w:type="dxa"/>
          </w:tcPr>
          <w:p w14:paraId="43FD05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C9EC2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Расчет себестоимости: расчет заработной платы, определение потребности в сырье и материалах, расчет накладных расходов.</w:t>
            </w:r>
          </w:p>
        </w:tc>
      </w:tr>
      <w:tr w:rsidR="009E6058" w14:paraId="26AD9534" w14:textId="77777777" w:rsidTr="00F00293">
        <w:tc>
          <w:tcPr>
            <w:tcW w:w="562" w:type="dxa"/>
          </w:tcPr>
          <w:p w14:paraId="5BCAA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079A0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Постоянные и переменные расходы, понятия и особенности планирования.</w:t>
            </w:r>
          </w:p>
        </w:tc>
      </w:tr>
      <w:tr w:rsidR="009E6058" w14:paraId="08958490" w14:textId="77777777" w:rsidTr="00F00293">
        <w:tc>
          <w:tcPr>
            <w:tcW w:w="562" w:type="dxa"/>
          </w:tcPr>
          <w:p w14:paraId="6C41B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8B284B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Понятие и классификация инвестиций. Определение инвестиционных потоков проекта.</w:t>
            </w:r>
          </w:p>
        </w:tc>
      </w:tr>
      <w:tr w:rsidR="009E6058" w14:paraId="7CFD9F52" w14:textId="77777777" w:rsidTr="00F00293">
        <w:tc>
          <w:tcPr>
            <w:tcW w:w="562" w:type="dxa"/>
          </w:tcPr>
          <w:p w14:paraId="6B0B4E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BCD45DB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Понятие и источники финансирования (собственные и заемные средства, внутренние и внешние, долгосрочные и краткосрочные).</w:t>
            </w:r>
          </w:p>
        </w:tc>
      </w:tr>
      <w:tr w:rsidR="009E6058" w14:paraId="12BFCAAA" w14:textId="77777777" w:rsidTr="00F00293">
        <w:tc>
          <w:tcPr>
            <w:tcW w:w="562" w:type="dxa"/>
          </w:tcPr>
          <w:p w14:paraId="28D61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864988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 xml:space="preserve">Новые формы финансирования (цессии, факторинг, </w:t>
            </w:r>
            <w:proofErr w:type="spellStart"/>
            <w:r w:rsidRPr="009A10F3">
              <w:rPr>
                <w:sz w:val="23"/>
                <w:szCs w:val="23"/>
              </w:rPr>
              <w:t>форфейтеринг</w:t>
            </w:r>
            <w:proofErr w:type="spellEnd"/>
            <w:r w:rsidRPr="009A10F3">
              <w:rPr>
                <w:sz w:val="23"/>
                <w:szCs w:val="23"/>
              </w:rPr>
              <w:t>).</w:t>
            </w:r>
          </w:p>
        </w:tc>
      </w:tr>
      <w:tr w:rsidR="009E6058" w14:paraId="3479C104" w14:textId="77777777" w:rsidTr="00F00293">
        <w:tc>
          <w:tcPr>
            <w:tcW w:w="562" w:type="dxa"/>
          </w:tcPr>
          <w:p w14:paraId="62CE9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8D80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A10F3">
              <w:rPr>
                <w:sz w:val="23"/>
                <w:szCs w:val="23"/>
              </w:rPr>
              <w:t xml:space="preserve">Определение источников финансирования в бизнес-плане.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BF53DE" w14:textId="77777777" w:rsidTr="00F00293">
        <w:tc>
          <w:tcPr>
            <w:tcW w:w="562" w:type="dxa"/>
          </w:tcPr>
          <w:p w14:paraId="3DEE8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678754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Расчет и управление оборотным капиталом проекта.</w:t>
            </w:r>
          </w:p>
        </w:tc>
      </w:tr>
      <w:tr w:rsidR="009E6058" w14:paraId="2131A186" w14:textId="77777777" w:rsidTr="00F00293">
        <w:tc>
          <w:tcPr>
            <w:tcW w:w="562" w:type="dxa"/>
          </w:tcPr>
          <w:p w14:paraId="08014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42F99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A10F3">
              <w:rPr>
                <w:sz w:val="23"/>
                <w:szCs w:val="23"/>
              </w:rPr>
              <w:t xml:space="preserve">Целевая структура капитала, цена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рычаг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4F72BC" w14:textId="77777777" w:rsidTr="00F00293">
        <w:tc>
          <w:tcPr>
            <w:tcW w:w="562" w:type="dxa"/>
          </w:tcPr>
          <w:p w14:paraId="080E4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8E408F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Финансовые преимущества лизинга. Расчет лизинговых платежей.</w:t>
            </w:r>
          </w:p>
        </w:tc>
      </w:tr>
      <w:tr w:rsidR="009E6058" w14:paraId="608AA991" w14:textId="77777777" w:rsidTr="00F00293">
        <w:tc>
          <w:tcPr>
            <w:tcW w:w="562" w:type="dxa"/>
          </w:tcPr>
          <w:p w14:paraId="14F166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F211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Оптимизация структуры капитала проекта.</w:t>
            </w:r>
          </w:p>
        </w:tc>
      </w:tr>
      <w:tr w:rsidR="009E6058" w14:paraId="66167F91" w14:textId="77777777" w:rsidTr="00F00293">
        <w:tc>
          <w:tcPr>
            <w:tcW w:w="562" w:type="dxa"/>
          </w:tcPr>
          <w:p w14:paraId="42980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C1924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Моделирование сроков получения кредита, начисления и выплаты процентов, возможностей погашения.</w:t>
            </w:r>
          </w:p>
        </w:tc>
      </w:tr>
      <w:tr w:rsidR="009E6058" w14:paraId="2A7E20B8" w14:textId="77777777" w:rsidTr="00F00293">
        <w:tc>
          <w:tcPr>
            <w:tcW w:w="562" w:type="dxa"/>
          </w:tcPr>
          <w:p w14:paraId="0828D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E35D47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Составление плановых балансов. Требования к структуре баланса.</w:t>
            </w:r>
          </w:p>
        </w:tc>
      </w:tr>
      <w:tr w:rsidR="009E6058" w14:paraId="1C82A62B" w14:textId="77777777" w:rsidTr="00F00293">
        <w:tc>
          <w:tcPr>
            <w:tcW w:w="562" w:type="dxa"/>
          </w:tcPr>
          <w:p w14:paraId="43BA0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D04F65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Планирование прибыли. Оценка налоговых последствий управленческих решений.</w:t>
            </w:r>
          </w:p>
        </w:tc>
      </w:tr>
      <w:tr w:rsidR="009E6058" w14:paraId="6EB1BFE8" w14:textId="77777777" w:rsidTr="00F00293">
        <w:tc>
          <w:tcPr>
            <w:tcW w:w="562" w:type="dxa"/>
          </w:tcPr>
          <w:p w14:paraId="5B2D76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1E1252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Оценка ожидаемых результатов: анализ рентабельности и оборачиваемости, обеспечение финансовой устойчивости и ликвидности проекта.</w:t>
            </w:r>
          </w:p>
        </w:tc>
      </w:tr>
      <w:tr w:rsidR="009E6058" w14:paraId="0A0422FC" w14:textId="77777777" w:rsidTr="00F00293">
        <w:tc>
          <w:tcPr>
            <w:tcW w:w="562" w:type="dxa"/>
          </w:tcPr>
          <w:p w14:paraId="341C2B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7C48A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экономической добавленной стоимости.</w:t>
            </w:r>
          </w:p>
        </w:tc>
      </w:tr>
      <w:tr w:rsidR="009E6058" w14:paraId="77B30CEE" w14:textId="77777777" w:rsidTr="00F00293">
        <w:tc>
          <w:tcPr>
            <w:tcW w:w="562" w:type="dxa"/>
          </w:tcPr>
          <w:p w14:paraId="5BBED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2EDB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A10F3">
              <w:rPr>
                <w:sz w:val="23"/>
                <w:szCs w:val="23"/>
              </w:rPr>
              <w:t xml:space="preserve">Управление финансовым циклом проекта в целях предотвращения неплатежеспособности и банкротства.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диагностики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93EAC0" w14:textId="77777777" w:rsidTr="00F00293">
        <w:tc>
          <w:tcPr>
            <w:tcW w:w="562" w:type="dxa"/>
          </w:tcPr>
          <w:p w14:paraId="2B03EE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F14293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Сущность и методы анализа эффективности инвестиций.</w:t>
            </w:r>
          </w:p>
        </w:tc>
      </w:tr>
      <w:tr w:rsidR="009E6058" w14:paraId="3D27CDC9" w14:textId="77777777" w:rsidTr="00F00293">
        <w:tc>
          <w:tcPr>
            <w:tcW w:w="562" w:type="dxa"/>
          </w:tcPr>
          <w:p w14:paraId="0FA1B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FA15EC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Динамические критерии эффективности инвестиций. Финансовый профиль инвестиционного проекта.</w:t>
            </w:r>
          </w:p>
        </w:tc>
      </w:tr>
      <w:tr w:rsidR="009E6058" w14:paraId="33633146" w14:textId="77777777" w:rsidTr="00F00293">
        <w:tc>
          <w:tcPr>
            <w:tcW w:w="562" w:type="dxa"/>
          </w:tcPr>
          <w:p w14:paraId="3B0E6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138F0A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Проблемы оценки и противоречивость критериев эффективности инвестиций.</w:t>
            </w:r>
          </w:p>
        </w:tc>
      </w:tr>
      <w:tr w:rsidR="009E6058" w14:paraId="71618882" w14:textId="77777777" w:rsidTr="00F00293">
        <w:tc>
          <w:tcPr>
            <w:tcW w:w="562" w:type="dxa"/>
          </w:tcPr>
          <w:p w14:paraId="7F661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AFC6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Типичные ошибки инвестиционного проектирования.</w:t>
            </w:r>
          </w:p>
        </w:tc>
      </w:tr>
      <w:tr w:rsidR="009E6058" w14:paraId="05B6B825" w14:textId="77777777" w:rsidTr="00F00293">
        <w:tc>
          <w:tcPr>
            <w:tcW w:w="562" w:type="dxa"/>
          </w:tcPr>
          <w:p w14:paraId="45BEC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33C91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A10F3">
              <w:rPr>
                <w:sz w:val="23"/>
                <w:szCs w:val="23"/>
              </w:rPr>
              <w:t xml:space="preserve">Условия сопоставимости в оценке эффективности.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B5C23A" w14:textId="77777777" w:rsidTr="00F00293">
        <w:tc>
          <w:tcPr>
            <w:tcW w:w="562" w:type="dxa"/>
          </w:tcPr>
          <w:p w14:paraId="4DC31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0C04221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Виды и оценка риска в инвестиционном проектировании.</w:t>
            </w:r>
          </w:p>
        </w:tc>
      </w:tr>
      <w:tr w:rsidR="009E6058" w14:paraId="1DBA6EC0" w14:textId="77777777" w:rsidTr="00F00293">
        <w:tc>
          <w:tcPr>
            <w:tcW w:w="562" w:type="dxa"/>
          </w:tcPr>
          <w:p w14:paraId="29E92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19289B9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Влияние инфляции на финансовые результаты и эффективность инвестиций.</w:t>
            </w:r>
          </w:p>
        </w:tc>
      </w:tr>
      <w:tr w:rsidR="009E6058" w14:paraId="655E150D" w14:textId="77777777" w:rsidTr="00F00293">
        <w:tc>
          <w:tcPr>
            <w:tcW w:w="562" w:type="dxa"/>
          </w:tcPr>
          <w:p w14:paraId="14378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759E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чувствительности.</w:t>
            </w:r>
          </w:p>
        </w:tc>
      </w:tr>
      <w:tr w:rsidR="009E6058" w14:paraId="07275609" w14:textId="77777777" w:rsidTr="00F00293">
        <w:tc>
          <w:tcPr>
            <w:tcW w:w="562" w:type="dxa"/>
          </w:tcPr>
          <w:p w14:paraId="655A8D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FB2781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 xml:space="preserve">Эвристические методы анализа риска (метод экспертных оценок, сценариев, </w:t>
            </w:r>
            <w:proofErr w:type="spellStart"/>
            <w:r w:rsidRPr="009A10F3">
              <w:rPr>
                <w:sz w:val="23"/>
                <w:szCs w:val="23"/>
              </w:rPr>
              <w:t>мозго‌вого</w:t>
            </w:r>
            <w:proofErr w:type="spellEnd"/>
            <w:r w:rsidRPr="009A10F3">
              <w:rPr>
                <w:sz w:val="23"/>
                <w:szCs w:val="23"/>
              </w:rPr>
              <w:t xml:space="preserve"> штурма, деловых игр).</w:t>
            </w:r>
          </w:p>
        </w:tc>
      </w:tr>
      <w:tr w:rsidR="009E6058" w14:paraId="75C7422D" w14:textId="77777777" w:rsidTr="00F00293">
        <w:tc>
          <w:tcPr>
            <w:tcW w:w="562" w:type="dxa"/>
          </w:tcPr>
          <w:p w14:paraId="0B1C4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C59A8F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Анализ безубыточности (</w:t>
            </w:r>
            <w:proofErr w:type="spellStart"/>
            <w:r>
              <w:rPr>
                <w:sz w:val="23"/>
                <w:szCs w:val="23"/>
                <w:lang w:val="en-US"/>
              </w:rPr>
              <w:t>cvp</w:t>
            </w:r>
            <w:proofErr w:type="spellEnd"/>
            <w:r w:rsidRPr="009A10F3">
              <w:rPr>
                <w:sz w:val="23"/>
                <w:szCs w:val="23"/>
              </w:rPr>
              <w:t>-анализ), операционный рычаг.</w:t>
            </w:r>
          </w:p>
        </w:tc>
      </w:tr>
      <w:tr w:rsidR="009E6058" w14:paraId="531E0312" w14:textId="77777777" w:rsidTr="00F00293">
        <w:tc>
          <w:tcPr>
            <w:tcW w:w="562" w:type="dxa"/>
          </w:tcPr>
          <w:p w14:paraId="7842BD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36F6261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Критерии и стоп-факторы инвестиционного проектирования, учитываемые Сбербанком.</w:t>
            </w:r>
          </w:p>
        </w:tc>
      </w:tr>
      <w:tr w:rsidR="009E6058" w14:paraId="72CFDD36" w14:textId="77777777" w:rsidTr="00F00293">
        <w:tc>
          <w:tcPr>
            <w:tcW w:w="562" w:type="dxa"/>
          </w:tcPr>
          <w:p w14:paraId="4168A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8251C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A10F3">
              <w:rPr>
                <w:sz w:val="23"/>
                <w:szCs w:val="23"/>
              </w:rPr>
              <w:t xml:space="preserve">Ранжирование и отбор проектов для финансирования.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Неформальные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43EB6E" w14:textId="77777777" w:rsidTr="00F00293">
        <w:tc>
          <w:tcPr>
            <w:tcW w:w="562" w:type="dxa"/>
          </w:tcPr>
          <w:p w14:paraId="2B664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D86D91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Понятие, назначение и содержание мониторинга инвестиционных проектов</w:t>
            </w:r>
          </w:p>
        </w:tc>
      </w:tr>
      <w:tr w:rsidR="009E6058" w14:paraId="703384D7" w14:textId="77777777" w:rsidTr="00F00293">
        <w:tc>
          <w:tcPr>
            <w:tcW w:w="562" w:type="dxa"/>
          </w:tcPr>
          <w:p w14:paraId="0DAB8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9B7EE09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Организация системы мониторинга проектов на предприятии, в инвестиционных фондах /банках.</w:t>
            </w:r>
          </w:p>
        </w:tc>
      </w:tr>
      <w:tr w:rsidR="009E6058" w14:paraId="591F86C0" w14:textId="77777777" w:rsidTr="00F00293">
        <w:tc>
          <w:tcPr>
            <w:tcW w:w="562" w:type="dxa"/>
          </w:tcPr>
          <w:p w14:paraId="037C2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01CCE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Сущность и особенности венчурного финансирования.</w:t>
            </w:r>
          </w:p>
        </w:tc>
      </w:tr>
      <w:tr w:rsidR="009E6058" w14:paraId="1FD7AFF7" w14:textId="77777777" w:rsidTr="00F00293">
        <w:tc>
          <w:tcPr>
            <w:tcW w:w="562" w:type="dxa"/>
          </w:tcPr>
          <w:p w14:paraId="29814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AA359D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Основные экономические концепции инвестиционного анализа.</w:t>
            </w:r>
          </w:p>
        </w:tc>
      </w:tr>
      <w:tr w:rsidR="009E6058" w14:paraId="43854B18" w14:textId="77777777" w:rsidTr="00F00293">
        <w:tc>
          <w:tcPr>
            <w:tcW w:w="562" w:type="dxa"/>
          </w:tcPr>
          <w:p w14:paraId="30864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A7AC9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инвестиционной документации.</w:t>
            </w:r>
          </w:p>
        </w:tc>
      </w:tr>
      <w:tr w:rsidR="009E6058" w14:paraId="7804F44E" w14:textId="77777777" w:rsidTr="00F00293">
        <w:tc>
          <w:tcPr>
            <w:tcW w:w="562" w:type="dxa"/>
          </w:tcPr>
          <w:p w14:paraId="6B9EBF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43673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инвестиционных возможностей.</w:t>
            </w:r>
          </w:p>
        </w:tc>
      </w:tr>
      <w:tr w:rsidR="009E6058" w14:paraId="5B2DE8A6" w14:textId="77777777" w:rsidTr="00F00293">
        <w:tc>
          <w:tcPr>
            <w:tcW w:w="562" w:type="dxa"/>
          </w:tcPr>
          <w:p w14:paraId="711D5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CE2283A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Предварительная и окончательная формулировка проекта.</w:t>
            </w:r>
          </w:p>
        </w:tc>
      </w:tr>
      <w:tr w:rsidR="009E6058" w14:paraId="5AC3EFCA" w14:textId="77777777" w:rsidTr="00F00293">
        <w:tc>
          <w:tcPr>
            <w:tcW w:w="562" w:type="dxa"/>
          </w:tcPr>
          <w:p w14:paraId="0B430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6AD207C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Государственная поддержка инвестиционных проектов частных инвесторов.</w:t>
            </w:r>
          </w:p>
        </w:tc>
      </w:tr>
      <w:tr w:rsidR="009E6058" w14:paraId="5805D9E2" w14:textId="77777777" w:rsidTr="00F00293">
        <w:tc>
          <w:tcPr>
            <w:tcW w:w="562" w:type="dxa"/>
          </w:tcPr>
          <w:p w14:paraId="29D30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EF92B7B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Выбор товара и конкурентные стратегии.</w:t>
            </w:r>
          </w:p>
        </w:tc>
      </w:tr>
      <w:tr w:rsidR="009E6058" w14:paraId="6E5C6C63" w14:textId="77777777" w:rsidTr="00F00293">
        <w:tc>
          <w:tcPr>
            <w:tcW w:w="562" w:type="dxa"/>
          </w:tcPr>
          <w:p w14:paraId="7384A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34FFA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рынка сбыта.</w:t>
            </w:r>
          </w:p>
        </w:tc>
      </w:tr>
      <w:tr w:rsidR="009E6058" w14:paraId="23B2F82B" w14:textId="77777777" w:rsidTr="00F00293">
        <w:tc>
          <w:tcPr>
            <w:tcW w:w="562" w:type="dxa"/>
          </w:tcPr>
          <w:p w14:paraId="6AB6F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9808D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конкуренции.</w:t>
            </w:r>
          </w:p>
        </w:tc>
      </w:tr>
      <w:tr w:rsidR="009E6058" w14:paraId="21CD017A" w14:textId="77777777" w:rsidTr="00F00293">
        <w:tc>
          <w:tcPr>
            <w:tcW w:w="562" w:type="dxa"/>
          </w:tcPr>
          <w:p w14:paraId="23E74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9A3F3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отрасли.</w:t>
            </w:r>
          </w:p>
        </w:tc>
      </w:tr>
      <w:tr w:rsidR="009E6058" w14:paraId="3BF250BD" w14:textId="77777777" w:rsidTr="00F00293">
        <w:tc>
          <w:tcPr>
            <w:tcW w:w="562" w:type="dxa"/>
          </w:tcPr>
          <w:p w14:paraId="50BE5E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23BD1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плана маркетинга.</w:t>
            </w:r>
          </w:p>
        </w:tc>
      </w:tr>
      <w:tr w:rsidR="009E6058" w14:paraId="0BCDD6C2" w14:textId="77777777" w:rsidTr="00F00293">
        <w:tc>
          <w:tcPr>
            <w:tcW w:w="562" w:type="dxa"/>
          </w:tcPr>
          <w:p w14:paraId="5A102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8B4D14A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Жизненный цикл продукта и обоснование политики ценообразования.</w:t>
            </w:r>
          </w:p>
        </w:tc>
      </w:tr>
      <w:tr w:rsidR="009E6058" w14:paraId="1F2CF55C" w14:textId="77777777" w:rsidTr="00F00293">
        <w:tc>
          <w:tcPr>
            <w:tcW w:w="562" w:type="dxa"/>
          </w:tcPr>
          <w:p w14:paraId="72B47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19BC0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Обоснование плана производства.</w:t>
            </w:r>
          </w:p>
        </w:tc>
      </w:tr>
      <w:tr w:rsidR="009E6058" w14:paraId="7DA730F2" w14:textId="77777777" w:rsidTr="00F00293">
        <w:tc>
          <w:tcPr>
            <w:tcW w:w="562" w:type="dxa"/>
          </w:tcPr>
          <w:p w14:paraId="1ACD84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95DC6F9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Специализация, кооперирование, выбор схемы организации производства.</w:t>
            </w:r>
          </w:p>
        </w:tc>
      </w:tr>
      <w:tr w:rsidR="009E6058" w14:paraId="292607AB" w14:textId="77777777" w:rsidTr="00F00293">
        <w:tc>
          <w:tcPr>
            <w:tcW w:w="562" w:type="dxa"/>
          </w:tcPr>
          <w:p w14:paraId="120DA2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028D2A6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Расчет численности и кадровое обеспечение проекта.</w:t>
            </w:r>
          </w:p>
        </w:tc>
      </w:tr>
      <w:tr w:rsidR="009E6058" w14:paraId="18A9F1DB" w14:textId="77777777" w:rsidTr="00F00293">
        <w:tc>
          <w:tcPr>
            <w:tcW w:w="562" w:type="dxa"/>
          </w:tcPr>
          <w:p w14:paraId="3300E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5458F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Обоснование системы оплаты труда.</w:t>
            </w:r>
          </w:p>
        </w:tc>
      </w:tr>
      <w:tr w:rsidR="009E6058" w14:paraId="4FEFC71E" w14:textId="77777777" w:rsidTr="00F00293">
        <w:tc>
          <w:tcPr>
            <w:tcW w:w="562" w:type="dxa"/>
          </w:tcPr>
          <w:p w14:paraId="4AB01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1853FDC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Проблемы оценки финансовых результатов с учетом фактора времени (шаг расчета, дисконтирование, наращение, аннуитет.</w:t>
            </w:r>
          </w:p>
        </w:tc>
      </w:tr>
      <w:tr w:rsidR="009E6058" w14:paraId="73D5DD15" w14:textId="77777777" w:rsidTr="00F00293">
        <w:tc>
          <w:tcPr>
            <w:tcW w:w="562" w:type="dxa"/>
          </w:tcPr>
          <w:p w14:paraId="3CB6AE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75DC8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инвестиций.</w:t>
            </w:r>
          </w:p>
        </w:tc>
      </w:tr>
      <w:tr w:rsidR="009E6058" w14:paraId="55450534" w14:textId="77777777" w:rsidTr="00F00293">
        <w:tc>
          <w:tcPr>
            <w:tcW w:w="562" w:type="dxa"/>
          </w:tcPr>
          <w:p w14:paraId="6E8F7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06D89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Конкурирующие и взаимоисключающие инвестиции.</w:t>
            </w:r>
          </w:p>
        </w:tc>
      </w:tr>
      <w:tr w:rsidR="009E6058" w14:paraId="1FC56092" w14:textId="77777777" w:rsidTr="00F00293">
        <w:tc>
          <w:tcPr>
            <w:tcW w:w="562" w:type="dxa"/>
          </w:tcPr>
          <w:p w14:paraId="53E58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849516C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Принципы оценки эффективности слияний и поглощений.</w:t>
            </w:r>
          </w:p>
        </w:tc>
      </w:tr>
      <w:tr w:rsidR="009E6058" w14:paraId="3C6277ED" w14:textId="77777777" w:rsidTr="00F00293">
        <w:tc>
          <w:tcPr>
            <w:tcW w:w="562" w:type="dxa"/>
          </w:tcPr>
          <w:p w14:paraId="72168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64692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проекта.</w:t>
            </w:r>
          </w:p>
        </w:tc>
      </w:tr>
      <w:tr w:rsidR="009E6058" w14:paraId="3C3F342E" w14:textId="77777777" w:rsidTr="00F00293">
        <w:tc>
          <w:tcPr>
            <w:tcW w:w="562" w:type="dxa"/>
          </w:tcPr>
          <w:p w14:paraId="289FA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FB20A3B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Влияние инфляции на оценку инвестиционных проектов.</w:t>
            </w:r>
          </w:p>
        </w:tc>
      </w:tr>
      <w:tr w:rsidR="009E6058" w14:paraId="0E7487D3" w14:textId="77777777" w:rsidTr="00F00293">
        <w:tc>
          <w:tcPr>
            <w:tcW w:w="562" w:type="dxa"/>
          </w:tcPr>
          <w:p w14:paraId="5FC18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F1BF4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стоимостью капитала проекта.</w:t>
            </w:r>
          </w:p>
        </w:tc>
      </w:tr>
      <w:tr w:rsidR="009E6058" w14:paraId="066589FC" w14:textId="77777777" w:rsidTr="00F00293">
        <w:tc>
          <w:tcPr>
            <w:tcW w:w="562" w:type="dxa"/>
          </w:tcPr>
          <w:p w14:paraId="278B52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6F0FE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Рационирование капитала.</w:t>
            </w:r>
          </w:p>
        </w:tc>
      </w:tr>
      <w:tr w:rsidR="009E6058" w14:paraId="2FAD1490" w14:textId="77777777" w:rsidTr="00F00293">
        <w:tc>
          <w:tcPr>
            <w:tcW w:w="562" w:type="dxa"/>
          </w:tcPr>
          <w:p w14:paraId="006B4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EDEAD5A" w14:textId="77777777" w:rsidR="009E6058" w:rsidRPr="009A10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Методы оценки риска инвестиционных проектов.</w:t>
            </w:r>
          </w:p>
        </w:tc>
      </w:tr>
      <w:tr w:rsidR="009E6058" w14:paraId="2784E680" w14:textId="77777777" w:rsidTr="00F00293">
        <w:tc>
          <w:tcPr>
            <w:tcW w:w="562" w:type="dxa"/>
          </w:tcPr>
          <w:p w14:paraId="1DFAA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3D257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бизнес-плана.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10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A10F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26F999DF" w14:textId="77777777" w:rsidTr="00801458">
        <w:tc>
          <w:tcPr>
            <w:tcW w:w="2336" w:type="dxa"/>
          </w:tcPr>
          <w:p w14:paraId="308B76D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5A9FA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3CABE32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A10F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36662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4-5</w:t>
            </w:r>
          </w:p>
        </w:tc>
      </w:tr>
      <w:tr w:rsidR="005D65A5" w:rsidRPr="007478E0" w14:paraId="6B9D277A" w14:textId="77777777" w:rsidTr="00801458">
        <w:tc>
          <w:tcPr>
            <w:tcW w:w="2336" w:type="dxa"/>
          </w:tcPr>
          <w:p w14:paraId="5090C039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2B3E1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FA146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A10F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EEA78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AA86DD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10F3" w14:paraId="1DFE3830" w14:textId="77777777" w:rsidTr="00D20C21">
        <w:tc>
          <w:tcPr>
            <w:tcW w:w="562" w:type="dxa"/>
          </w:tcPr>
          <w:p w14:paraId="3D40DF12" w14:textId="77777777" w:rsidR="009A10F3" w:rsidRPr="009E6058" w:rsidRDefault="009A10F3" w:rsidP="00D20C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BA9BF6" w14:textId="77777777" w:rsidR="009A10F3" w:rsidRPr="009A10F3" w:rsidRDefault="009A10F3" w:rsidP="00D20C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10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A10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778F2AE3" w14:textId="77777777" w:rsidTr="00801458">
        <w:tc>
          <w:tcPr>
            <w:tcW w:w="2500" w:type="pct"/>
          </w:tcPr>
          <w:p w14:paraId="070070D4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6F5321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5CFE7" w14:textId="77777777" w:rsidR="00293DF5" w:rsidRDefault="00293DF5" w:rsidP="00315CA6">
      <w:pPr>
        <w:spacing w:after="0" w:line="240" w:lineRule="auto"/>
      </w:pPr>
      <w:r>
        <w:separator/>
      </w:r>
    </w:p>
  </w:endnote>
  <w:endnote w:type="continuationSeparator" w:id="0">
    <w:p w14:paraId="645F0783" w14:textId="77777777" w:rsidR="00293DF5" w:rsidRDefault="00293D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5F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EA86A" w14:textId="77777777" w:rsidR="00293DF5" w:rsidRDefault="00293DF5" w:rsidP="00315CA6">
      <w:pPr>
        <w:spacing w:after="0" w:line="240" w:lineRule="auto"/>
      </w:pPr>
      <w:r>
        <w:separator/>
      </w:r>
    </w:p>
  </w:footnote>
  <w:footnote w:type="continuationSeparator" w:id="0">
    <w:p w14:paraId="628B37BC" w14:textId="77777777" w:rsidR="00293DF5" w:rsidRDefault="00293D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3DF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5F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10F3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upravlenie-investicionnym-proektom-5644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proektnoe-finansirovanie-i-analiz-56016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725C51-BE31-46F5-ADCC-E361E7C6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3687</Words>
  <Characters>21021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3</cp:revision>
  <cp:lastPrinted>2021-04-28T14:42:00Z</cp:lastPrinted>
  <dcterms:created xsi:type="dcterms:W3CDTF">2025-07-15T10:23:00Z</dcterms:created>
  <dcterms:modified xsi:type="dcterms:W3CDTF">2026-03-10T08:44:00Z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